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172C" w14:textId="2AE49506" w:rsidR="00965CAF" w:rsidRPr="0041052D" w:rsidRDefault="00965CAF" w:rsidP="00C80021">
      <w:pPr>
        <w:pStyle w:val="Heading1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41052D">
        <w:rPr>
          <w:rFonts w:asciiTheme="minorHAnsi" w:hAnsiTheme="minorHAnsi" w:cstheme="minorHAnsi"/>
          <w:color w:val="auto"/>
          <w:sz w:val="52"/>
          <w:szCs w:val="52"/>
        </w:rPr>
        <w:t xml:space="preserve">Kvalitetspolicy för </w:t>
      </w:r>
      <w:r w:rsidRPr="00E44D57">
        <w:rPr>
          <w:rFonts w:asciiTheme="minorHAnsi" w:hAnsiTheme="minorHAnsi" w:cstheme="minorHAnsi"/>
          <w:color w:val="0000FF"/>
          <w:sz w:val="52"/>
          <w:szCs w:val="52"/>
        </w:rPr>
        <w:t>Swea Rör &amp; Stål AB</w:t>
      </w:r>
    </w:p>
    <w:p w14:paraId="2AB3E687" w14:textId="3AD68E3A" w:rsidR="00965CAF" w:rsidRPr="00E44D57" w:rsidRDefault="00965CAF" w:rsidP="00E44D5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41B1A64" w14:textId="2D15637B" w:rsidR="00E44D57" w:rsidRPr="00E44D57" w:rsidRDefault="009E54DB" w:rsidP="00E44D5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Swea är</w:t>
      </w:r>
      <w:r w:rsidR="00E44D57">
        <w:rPr>
          <w:rFonts w:asciiTheme="minorHAnsi" w:hAnsiTheme="minorHAnsi" w:cstheme="minorHAnsi"/>
          <w:sz w:val="28"/>
          <w:szCs w:val="28"/>
        </w:rPr>
        <w:t xml:space="preserve"> en ståldistributör med fokus på att tillföra mervärde. </w:t>
      </w:r>
      <w:r>
        <w:rPr>
          <w:rFonts w:asciiTheme="minorHAnsi" w:hAnsiTheme="minorHAnsi" w:cstheme="minorHAnsi"/>
          <w:sz w:val="28"/>
          <w:szCs w:val="28"/>
        </w:rPr>
        <w:br/>
      </w:r>
      <w:r w:rsidR="00E44D57">
        <w:rPr>
          <w:rFonts w:asciiTheme="minorHAnsi" w:hAnsiTheme="minorHAnsi" w:cstheme="minorHAnsi"/>
          <w:sz w:val="28"/>
          <w:szCs w:val="28"/>
        </w:rPr>
        <w:t xml:space="preserve">Vi erbjuder </w:t>
      </w:r>
      <w:r>
        <w:rPr>
          <w:rFonts w:asciiTheme="minorHAnsi" w:hAnsiTheme="minorHAnsi" w:cstheme="minorHAnsi"/>
          <w:sz w:val="28"/>
          <w:szCs w:val="28"/>
        </w:rPr>
        <w:t xml:space="preserve">lagerhållning, </w:t>
      </w:r>
      <w:r w:rsidR="00E44D57">
        <w:rPr>
          <w:rFonts w:asciiTheme="minorHAnsi" w:hAnsiTheme="minorHAnsi" w:cstheme="minorHAnsi"/>
          <w:sz w:val="28"/>
          <w:szCs w:val="28"/>
        </w:rPr>
        <w:t xml:space="preserve">kapning och andra bearbetningar </w:t>
      </w:r>
      <w:r w:rsidR="00E44D57">
        <w:rPr>
          <w:rFonts w:asciiTheme="minorHAnsi" w:hAnsiTheme="minorHAnsi" w:cstheme="minorHAnsi"/>
          <w:sz w:val="28"/>
          <w:szCs w:val="28"/>
        </w:rPr>
        <w:br/>
        <w:t xml:space="preserve">anpassat </w:t>
      </w:r>
      <w:r>
        <w:rPr>
          <w:rFonts w:asciiTheme="minorHAnsi" w:hAnsiTheme="minorHAnsi" w:cstheme="minorHAnsi"/>
          <w:sz w:val="28"/>
          <w:szCs w:val="28"/>
        </w:rPr>
        <w:t>efter</w:t>
      </w:r>
      <w:r w:rsidR="00E44D57">
        <w:rPr>
          <w:rFonts w:asciiTheme="minorHAnsi" w:hAnsiTheme="minorHAnsi" w:cstheme="minorHAnsi"/>
          <w:sz w:val="28"/>
          <w:szCs w:val="28"/>
        </w:rPr>
        <w:t xml:space="preserve"> våra kunders behov.</w:t>
      </w:r>
    </w:p>
    <w:p w14:paraId="529F7FF7" w14:textId="77777777" w:rsidR="00965CAF" w:rsidRPr="00E44D57" w:rsidRDefault="00965CAF" w:rsidP="00E44D5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A232FD" w14:textId="2DA7F312" w:rsidR="0041052D" w:rsidRDefault="0041052D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 xml:space="preserve">Vår verksamhet genomsyras av </w:t>
      </w:r>
      <w:r w:rsidR="006B4AE0">
        <w:rPr>
          <w:rFonts w:asciiTheme="minorHAnsi" w:hAnsiTheme="minorHAnsi" w:cstheme="minorHAnsi"/>
          <w:i/>
          <w:iCs/>
          <w:sz w:val="36"/>
          <w:szCs w:val="36"/>
        </w:rPr>
        <w:t xml:space="preserve">ansträngningar att </w:t>
      </w:r>
      <w:r w:rsidR="006B4AE0" w:rsidRPr="002A566C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leverera något värdefullt</w:t>
      </w:r>
      <w:r w:rsidR="006B4AE0" w:rsidRPr="002A566C">
        <w:rPr>
          <w:rFonts w:asciiTheme="minorHAnsi" w:hAnsiTheme="minorHAnsi" w:cstheme="minorHAnsi"/>
          <w:i/>
          <w:iCs/>
          <w:color w:val="0000FF"/>
          <w:sz w:val="36"/>
          <w:szCs w:val="36"/>
        </w:rPr>
        <w:t xml:space="preserve"> </w:t>
      </w:r>
      <w:r w:rsidR="006B4AE0">
        <w:rPr>
          <w:rFonts w:asciiTheme="minorHAnsi" w:hAnsiTheme="minorHAnsi" w:cstheme="minorHAnsi"/>
          <w:i/>
          <w:iCs/>
          <w:sz w:val="36"/>
          <w:szCs w:val="36"/>
        </w:rPr>
        <w:t>till kunden.</w:t>
      </w:r>
    </w:p>
    <w:p w14:paraId="1E522A3A" w14:textId="512AC75D" w:rsidR="006B4AE0" w:rsidRDefault="006B4AE0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712F21E2" w14:textId="4D0F9F55" w:rsidR="006B4AE0" w:rsidRDefault="006B4AE0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 xml:space="preserve">Vem som än tar vid som </w:t>
      </w:r>
      <w:r w:rsidRPr="002A566C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nästa länk i kedjan</w:t>
      </w:r>
      <w:r w:rsidRPr="002A566C">
        <w:rPr>
          <w:rFonts w:asciiTheme="minorHAnsi" w:hAnsiTheme="minorHAnsi" w:cstheme="minorHAnsi"/>
          <w:i/>
          <w:iCs/>
          <w:color w:val="0000FF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(vår process</w:t>
      </w:r>
      <w:r w:rsidR="00E44D57">
        <w:rPr>
          <w:rFonts w:asciiTheme="minorHAnsi" w:hAnsiTheme="minorHAnsi" w:cstheme="minorHAnsi"/>
          <w:i/>
          <w:iCs/>
          <w:sz w:val="36"/>
          <w:szCs w:val="36"/>
        </w:rPr>
        <w:t xml:space="preserve"> internt och externt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 </w:t>
      </w:r>
      <w:r w:rsidR="00AD5579">
        <w:rPr>
          <w:rFonts w:asciiTheme="minorHAnsi" w:hAnsiTheme="minorHAnsi" w:cstheme="minorHAnsi"/>
          <w:i/>
          <w:iCs/>
          <w:sz w:val="36"/>
          <w:szCs w:val="36"/>
        </w:rPr>
        <w:t xml:space="preserve">betraktas som </w:t>
      </w:r>
      <w:r w:rsidRPr="002A566C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vår ”kund”.</w:t>
      </w:r>
    </w:p>
    <w:p w14:paraId="69B815D2" w14:textId="3E12054C" w:rsidR="006B4AE0" w:rsidRDefault="006B4AE0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54620B86" w14:textId="30E0AE8E" w:rsidR="002A566C" w:rsidRDefault="002A566C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 xml:space="preserve">Varje </w:t>
      </w:r>
      <w:r w:rsidR="00C1235E">
        <w:rPr>
          <w:rFonts w:asciiTheme="minorHAnsi" w:hAnsiTheme="minorHAnsi" w:cstheme="minorHAnsi"/>
          <w:i/>
          <w:iCs/>
          <w:sz w:val="36"/>
          <w:szCs w:val="36"/>
        </w:rPr>
        <w:t>medarbetare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853AE8" w:rsidRPr="006A1131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 xml:space="preserve">tar ansvar </w:t>
      </w:r>
      <w:r w:rsidR="00853AE8">
        <w:rPr>
          <w:rFonts w:asciiTheme="minorHAnsi" w:hAnsiTheme="minorHAnsi" w:cstheme="minorHAnsi"/>
          <w:i/>
          <w:iCs/>
          <w:sz w:val="36"/>
          <w:szCs w:val="36"/>
        </w:rPr>
        <w:t xml:space="preserve">för att 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uppfylla, och om möjligt </w:t>
      </w:r>
      <w:r w:rsidRPr="006A1131">
        <w:rPr>
          <w:rFonts w:asciiTheme="minorHAnsi" w:hAnsiTheme="minorHAnsi" w:cstheme="minorHAnsi"/>
          <w:i/>
          <w:iCs/>
          <w:sz w:val="36"/>
          <w:szCs w:val="36"/>
        </w:rPr>
        <w:t>överträffa kundens</w:t>
      </w:r>
      <w:r w:rsidRPr="006A1131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  <w:r w:rsidRPr="002A566C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krav / förväntningar / önskemål</w:t>
      </w:r>
      <w:r>
        <w:rPr>
          <w:rFonts w:asciiTheme="minorHAnsi" w:hAnsiTheme="minorHAnsi" w:cstheme="minorHAnsi"/>
          <w:i/>
          <w:iCs/>
          <w:sz w:val="36"/>
          <w:szCs w:val="36"/>
        </w:rPr>
        <w:t>.</w:t>
      </w:r>
    </w:p>
    <w:p w14:paraId="38C37952" w14:textId="77777777" w:rsidR="002A566C" w:rsidRDefault="002A566C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24D68E57" w14:textId="3BB25DB1" w:rsidR="006B4AE0" w:rsidRDefault="00C1235E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 xml:space="preserve">Alla medarbetare </w:t>
      </w:r>
      <w:r w:rsidR="001025B6">
        <w:rPr>
          <w:rFonts w:asciiTheme="minorHAnsi" w:hAnsiTheme="minorHAnsi" w:cstheme="minorHAnsi"/>
          <w:i/>
          <w:iCs/>
          <w:sz w:val="36"/>
          <w:szCs w:val="36"/>
        </w:rPr>
        <w:t xml:space="preserve">bidrar </w:t>
      </w:r>
      <w:r>
        <w:rPr>
          <w:rFonts w:asciiTheme="minorHAnsi" w:hAnsiTheme="minorHAnsi" w:cstheme="minorHAnsi"/>
          <w:i/>
          <w:iCs/>
          <w:sz w:val="36"/>
          <w:szCs w:val="36"/>
        </w:rPr>
        <w:t>till att vårt</w:t>
      </w:r>
      <w:r w:rsidR="006B4AE0">
        <w:rPr>
          <w:rFonts w:asciiTheme="minorHAnsi" w:hAnsiTheme="minorHAnsi" w:cstheme="minorHAnsi"/>
          <w:i/>
          <w:iCs/>
          <w:sz w:val="36"/>
          <w:szCs w:val="36"/>
        </w:rPr>
        <w:t xml:space="preserve"> kvalitetsledningssystem </w:t>
      </w:r>
      <w:r w:rsidR="0086060E">
        <w:rPr>
          <w:rFonts w:asciiTheme="minorHAnsi" w:hAnsiTheme="minorHAnsi" w:cstheme="minorHAnsi"/>
          <w:i/>
          <w:iCs/>
          <w:sz w:val="36"/>
          <w:szCs w:val="36"/>
        </w:rPr>
        <w:t>driver</w:t>
      </w:r>
      <w:r w:rsidR="001025B6">
        <w:rPr>
          <w:rFonts w:asciiTheme="minorHAnsi" w:hAnsiTheme="minorHAnsi" w:cstheme="minorHAnsi"/>
          <w:i/>
          <w:iCs/>
          <w:sz w:val="36"/>
          <w:szCs w:val="36"/>
        </w:rPr>
        <w:t xml:space="preserve"> vårt </w:t>
      </w:r>
      <w:r w:rsidR="001025B6" w:rsidRPr="001025B6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ständiga förbättringsarbete,</w:t>
      </w:r>
      <w:r w:rsidR="001025B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>och används i vår dagliga verksamhet, i alla länkar i kedjan</w:t>
      </w:r>
      <w:r>
        <w:rPr>
          <w:rFonts w:asciiTheme="minorHAnsi" w:hAnsiTheme="minorHAnsi" w:cstheme="minorHAnsi"/>
          <w:i/>
          <w:iCs/>
          <w:sz w:val="36"/>
          <w:szCs w:val="36"/>
        </w:rPr>
        <w:t>.</w:t>
      </w:r>
    </w:p>
    <w:p w14:paraId="31D12674" w14:textId="3FBD0017" w:rsidR="00B64DD7" w:rsidRDefault="00B64DD7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50B944ED" w14:textId="2893BC0C" w:rsidR="00B64DD7" w:rsidRDefault="00893BB5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>F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>öretaget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E44D57">
        <w:rPr>
          <w:rFonts w:asciiTheme="minorHAnsi" w:hAnsiTheme="minorHAnsi" w:cstheme="minorHAnsi"/>
          <w:i/>
          <w:iCs/>
          <w:sz w:val="36"/>
          <w:szCs w:val="36"/>
        </w:rPr>
        <w:t>utvärderar</w:t>
      </w:r>
      <w:r w:rsidR="004C1AE4">
        <w:rPr>
          <w:rFonts w:asciiTheme="minorHAnsi" w:hAnsiTheme="minorHAnsi" w:cstheme="minorHAnsi"/>
          <w:i/>
          <w:iCs/>
          <w:sz w:val="36"/>
          <w:szCs w:val="36"/>
        </w:rPr>
        <w:t xml:space="preserve"> löpande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 xml:space="preserve"> att </w:t>
      </w:r>
      <w:r w:rsidR="00C1235E" w:rsidRPr="00853AE8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 xml:space="preserve">rätt </w:t>
      </w:r>
      <w:r w:rsidR="00B64DD7" w:rsidRPr="00853AE8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 xml:space="preserve">förutsättningar och </w:t>
      </w:r>
      <w:r w:rsidR="00C1235E" w:rsidRPr="00853AE8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 xml:space="preserve">tillräckliga </w:t>
      </w:r>
      <w:r w:rsidR="00B64DD7" w:rsidRPr="00853AE8">
        <w:rPr>
          <w:rFonts w:asciiTheme="minorHAnsi" w:hAnsiTheme="minorHAnsi" w:cstheme="minorHAnsi"/>
          <w:b/>
          <w:bCs/>
          <w:i/>
          <w:iCs/>
          <w:color w:val="0000FF"/>
          <w:sz w:val="36"/>
          <w:szCs w:val="36"/>
        </w:rPr>
        <w:t>resurser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C1235E">
        <w:rPr>
          <w:rFonts w:asciiTheme="minorHAnsi" w:hAnsiTheme="minorHAnsi" w:cstheme="minorHAnsi"/>
          <w:i/>
          <w:iCs/>
          <w:sz w:val="36"/>
          <w:szCs w:val="36"/>
        </w:rPr>
        <w:t xml:space="preserve">alltid 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>finns</w:t>
      </w:r>
      <w:r w:rsidR="00853AE8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B64DD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</w:p>
    <w:p w14:paraId="0F322ABE" w14:textId="77777777" w:rsidR="00B64DD7" w:rsidRDefault="00B64DD7" w:rsidP="00965CAF">
      <w:pPr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3BA92D41" w14:textId="77777777" w:rsidR="00282413" w:rsidRPr="0041052D" w:rsidRDefault="00282413" w:rsidP="00965CAF">
      <w:pPr>
        <w:rPr>
          <w:rFonts w:asciiTheme="minorHAnsi" w:hAnsiTheme="minorHAnsi" w:cstheme="minorHAnsi"/>
          <w:i/>
          <w:iCs/>
        </w:rPr>
      </w:pPr>
    </w:p>
    <w:sectPr w:rsidR="00282413" w:rsidRPr="0041052D" w:rsidSect="002A566C">
      <w:headerReference w:type="default" r:id="rId7"/>
      <w:pgSz w:w="11906" w:h="16838"/>
      <w:pgMar w:top="2268" w:right="127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05BB" w14:textId="77777777" w:rsidR="008727F5" w:rsidRDefault="008727F5" w:rsidP="00EF10DE">
      <w:r>
        <w:separator/>
      </w:r>
    </w:p>
  </w:endnote>
  <w:endnote w:type="continuationSeparator" w:id="0">
    <w:p w14:paraId="63EC9A64" w14:textId="77777777" w:rsidR="008727F5" w:rsidRDefault="008727F5" w:rsidP="00E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EDD5" w14:textId="77777777" w:rsidR="008727F5" w:rsidRDefault="008727F5" w:rsidP="00EF10DE">
      <w:r>
        <w:separator/>
      </w:r>
    </w:p>
  </w:footnote>
  <w:footnote w:type="continuationSeparator" w:id="0">
    <w:p w14:paraId="6835FA13" w14:textId="77777777" w:rsidR="008727F5" w:rsidRDefault="008727F5" w:rsidP="00EF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2160"/>
      <w:gridCol w:w="1800"/>
      <w:gridCol w:w="1980"/>
    </w:tblGrid>
    <w:tr w:rsidR="00E42F23" w14:paraId="1C1D2B6E" w14:textId="77777777">
      <w:trPr>
        <w:cantSplit/>
      </w:trPr>
      <w:tc>
        <w:tcPr>
          <w:tcW w:w="7450" w:type="dxa"/>
          <w:gridSpan w:val="3"/>
        </w:tcPr>
        <w:p w14:paraId="1E5C8BF1" w14:textId="77777777" w:rsidR="00E42F23" w:rsidRDefault="006B7943">
          <w:pPr>
            <w:pStyle w:val="Header"/>
            <w:spacing w:before="120" w:after="120"/>
            <w:rPr>
              <w:rFonts w:ascii="Arial" w:hAnsi="Arial" w:cs="Arial"/>
              <w:b/>
              <w:bCs/>
              <w:sz w:val="32"/>
            </w:rPr>
          </w:pPr>
          <w:r>
            <w:rPr>
              <w:noProof/>
            </w:rPr>
            <w:drawing>
              <wp:inline distT="0" distB="0" distL="0" distR="0" wp14:anchorId="7EE4A772" wp14:editId="24F8C63D">
                <wp:extent cx="762000" cy="371475"/>
                <wp:effectExtent l="0" t="0" r="0" b="9525"/>
                <wp:docPr id="2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5F71642E" w14:textId="77777777" w:rsidR="00E42F23" w:rsidRDefault="00E42F23">
          <w:pPr>
            <w:pStyle w:val="Header"/>
            <w:spacing w:before="120" w:after="120"/>
            <w:rPr>
              <w:rFonts w:ascii="Arial" w:hAnsi="Arial" w:cs="Arial"/>
            </w:rPr>
          </w:pPr>
        </w:p>
      </w:tc>
    </w:tr>
    <w:tr w:rsidR="00E42F23" w14:paraId="2F3E7D52" w14:textId="77777777">
      <w:trPr>
        <w:cantSplit/>
      </w:trPr>
      <w:tc>
        <w:tcPr>
          <w:tcW w:w="5650" w:type="dxa"/>
          <w:gridSpan w:val="2"/>
        </w:tcPr>
        <w:p w14:paraId="2617D1F6" w14:textId="77777777" w:rsidR="00E42F23" w:rsidRPr="00282413" w:rsidRDefault="00965CAF">
          <w:pPr>
            <w:pStyle w:val="Header"/>
            <w:spacing w:before="120" w:after="120"/>
            <w:rPr>
              <w:rFonts w:ascii="Arial" w:hAnsi="Arial" w:cs="Arial"/>
              <w:bCs/>
              <w:sz w:val="28"/>
            </w:rPr>
          </w:pPr>
          <w:r>
            <w:rPr>
              <w:rFonts w:ascii="Arial" w:hAnsi="Arial" w:cs="Arial"/>
              <w:bCs/>
              <w:sz w:val="28"/>
            </w:rPr>
            <w:t>Kvalitetspolicy</w:t>
          </w:r>
        </w:p>
      </w:tc>
      <w:tc>
        <w:tcPr>
          <w:tcW w:w="1800" w:type="dxa"/>
        </w:tcPr>
        <w:p w14:paraId="7ADE8A47" w14:textId="77777777" w:rsidR="00E42F23" w:rsidRDefault="00E42F23">
          <w:pPr>
            <w:pStyle w:val="Header"/>
            <w:spacing w:before="120" w:after="120"/>
            <w:rPr>
              <w:rFonts w:ascii="Arial" w:hAnsi="Arial" w:cs="Arial"/>
              <w:b/>
              <w:bCs/>
              <w:sz w:val="36"/>
              <w:vertAlign w:val="subscript"/>
            </w:rPr>
          </w:pPr>
        </w:p>
      </w:tc>
      <w:tc>
        <w:tcPr>
          <w:tcW w:w="1980" w:type="dxa"/>
        </w:tcPr>
        <w:p w14:paraId="466BC3AC" w14:textId="77777777" w:rsidR="00E42F23" w:rsidRDefault="004853E9">
          <w:pPr>
            <w:pStyle w:val="Header"/>
            <w:spacing w:before="120" w:after="120"/>
            <w:rPr>
              <w:rFonts w:ascii="Arial" w:hAnsi="Arial" w:cs="Arial"/>
              <w:vertAlign w:val="subscript"/>
            </w:rPr>
          </w:pPr>
          <w:r>
            <w:rPr>
              <w:rFonts w:ascii="Arial" w:hAnsi="Arial" w:cs="Arial"/>
              <w:sz w:val="20"/>
              <w:vertAlign w:val="superscript"/>
            </w:rPr>
            <w:t>Sid:</w:t>
          </w:r>
          <w:r>
            <w:rPr>
              <w:rFonts w:ascii="Arial" w:hAnsi="Arial" w:cs="Arial"/>
              <w:vertAlign w:val="superscript"/>
            </w:rPr>
            <w:t xml:space="preserve"> </w:t>
          </w:r>
          <w:r>
            <w:rPr>
              <w:rFonts w:ascii="Arial" w:hAnsi="Arial" w:cs="Arial"/>
              <w:vertAlign w:val="subscript"/>
            </w:rPr>
            <w:t xml:space="preserve"> </w:t>
          </w:r>
          <w:r w:rsidR="00F412AD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F412AD">
            <w:rPr>
              <w:rStyle w:val="PageNumber"/>
              <w:sz w:val="20"/>
            </w:rPr>
            <w:fldChar w:fldCharType="separate"/>
          </w:r>
          <w:r w:rsidR="00EC0D82">
            <w:rPr>
              <w:rStyle w:val="PageNumber"/>
              <w:noProof/>
              <w:sz w:val="20"/>
            </w:rPr>
            <w:t>1</w:t>
          </w:r>
          <w:r w:rsidR="00F412AD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>(</w:t>
          </w:r>
          <w:r w:rsidR="00F412AD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 w:rsidR="00F412AD">
            <w:rPr>
              <w:rStyle w:val="PageNumber"/>
              <w:sz w:val="20"/>
            </w:rPr>
            <w:fldChar w:fldCharType="separate"/>
          </w:r>
          <w:r w:rsidR="00EC0D82">
            <w:rPr>
              <w:rStyle w:val="PageNumber"/>
              <w:noProof/>
              <w:sz w:val="20"/>
            </w:rPr>
            <w:t>1</w:t>
          </w:r>
          <w:r w:rsidR="00F412AD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>)</w:t>
          </w:r>
        </w:p>
      </w:tc>
    </w:tr>
    <w:tr w:rsidR="00E42F23" w14:paraId="42796BFB" w14:textId="77777777">
      <w:tc>
        <w:tcPr>
          <w:tcW w:w="3490" w:type="dxa"/>
        </w:tcPr>
        <w:p w14:paraId="0B5A727B" w14:textId="77777777" w:rsidR="00E42F23" w:rsidRDefault="004853E9" w:rsidP="00965BB5">
          <w:pPr>
            <w:pStyle w:val="Header"/>
            <w:spacing w:before="120" w:after="120"/>
            <w:rPr>
              <w:rFonts w:ascii="Arial" w:hAnsi="Arial" w:cs="Arial"/>
              <w:vertAlign w:val="subscript"/>
            </w:rPr>
          </w:pPr>
          <w:r>
            <w:rPr>
              <w:rFonts w:ascii="Arial" w:hAnsi="Arial" w:cs="Arial"/>
              <w:sz w:val="20"/>
              <w:vertAlign w:val="superscript"/>
            </w:rPr>
            <w:t>Framtaget av</w:t>
          </w:r>
          <w:r>
            <w:rPr>
              <w:rFonts w:ascii="Arial" w:hAnsi="Arial" w:cs="Arial"/>
              <w:vertAlign w:val="superscript"/>
            </w:rPr>
            <w:t xml:space="preserve">: </w:t>
          </w:r>
          <w:r w:rsidR="00965BB5">
            <w:rPr>
              <w:rFonts w:ascii="Arial" w:hAnsi="Arial" w:cs="Arial"/>
              <w:vertAlign w:val="subscript"/>
            </w:rPr>
            <w:t>Ledningen</w:t>
          </w:r>
          <w:r>
            <w:rPr>
              <w:rFonts w:ascii="Arial" w:hAnsi="Arial" w:cs="Arial"/>
              <w:sz w:val="32"/>
              <w:vertAlign w:val="superscript"/>
            </w:rPr>
            <w:t xml:space="preserve"> </w:t>
          </w:r>
        </w:p>
      </w:tc>
      <w:tc>
        <w:tcPr>
          <w:tcW w:w="3960" w:type="dxa"/>
          <w:gridSpan w:val="2"/>
        </w:tcPr>
        <w:p w14:paraId="27E69B4C" w14:textId="77777777" w:rsidR="00E42F23" w:rsidRDefault="004853E9" w:rsidP="00965BB5">
          <w:pPr>
            <w:pStyle w:val="Header"/>
            <w:spacing w:before="120" w:after="120"/>
            <w:rPr>
              <w:rFonts w:ascii="Arial" w:hAnsi="Arial" w:cs="Arial"/>
              <w:vertAlign w:val="subscript"/>
            </w:rPr>
          </w:pPr>
          <w:r>
            <w:rPr>
              <w:rFonts w:ascii="Arial" w:hAnsi="Arial" w:cs="Arial"/>
              <w:sz w:val="20"/>
              <w:vertAlign w:val="superscript"/>
            </w:rPr>
            <w:t>Granskat av</w:t>
          </w:r>
          <w:r>
            <w:rPr>
              <w:rFonts w:ascii="Arial" w:hAnsi="Arial" w:cs="Arial"/>
              <w:vertAlign w:val="superscript"/>
            </w:rPr>
            <w:t xml:space="preserve">: </w:t>
          </w:r>
          <w:r w:rsidR="00EC0D82">
            <w:rPr>
              <w:rFonts w:ascii="Arial" w:hAnsi="Arial" w:cs="Arial"/>
              <w:vertAlign w:val="superscript"/>
            </w:rPr>
            <w:t>AND</w:t>
          </w:r>
        </w:p>
      </w:tc>
      <w:tc>
        <w:tcPr>
          <w:tcW w:w="1980" w:type="dxa"/>
        </w:tcPr>
        <w:p w14:paraId="54E07871" w14:textId="3660CE49" w:rsidR="00E42F23" w:rsidRDefault="004853E9" w:rsidP="00361330">
          <w:pPr>
            <w:pStyle w:val="Header"/>
            <w:spacing w:before="120" w:after="120"/>
            <w:rPr>
              <w:rFonts w:ascii="Arial" w:hAnsi="Arial" w:cs="Arial"/>
              <w:sz w:val="36"/>
              <w:vertAlign w:val="subscript"/>
            </w:rPr>
          </w:pPr>
          <w:r>
            <w:rPr>
              <w:rFonts w:ascii="Arial" w:hAnsi="Arial" w:cs="Arial"/>
              <w:sz w:val="20"/>
              <w:vertAlign w:val="superscript"/>
            </w:rPr>
            <w:t>Datum</w:t>
          </w:r>
          <w:r>
            <w:rPr>
              <w:rFonts w:ascii="Arial" w:hAnsi="Arial" w:cs="Arial"/>
              <w:sz w:val="36"/>
              <w:vertAlign w:val="superscript"/>
            </w:rPr>
            <w:t xml:space="preserve"> </w:t>
          </w:r>
          <w:r w:rsidR="006A1131">
            <w:rPr>
              <w:rFonts w:ascii="Arial" w:hAnsi="Arial" w:cs="Arial"/>
              <w:vertAlign w:val="subscript"/>
            </w:rPr>
            <w:t>202</w:t>
          </w:r>
          <w:r w:rsidR="00E44D57">
            <w:rPr>
              <w:rFonts w:ascii="Arial" w:hAnsi="Arial" w:cs="Arial"/>
              <w:vertAlign w:val="subscript"/>
            </w:rPr>
            <w:t>3</w:t>
          </w:r>
          <w:r w:rsidR="006A1131">
            <w:rPr>
              <w:rFonts w:ascii="Arial" w:hAnsi="Arial" w:cs="Arial"/>
              <w:vertAlign w:val="subscript"/>
            </w:rPr>
            <w:t>-01-</w:t>
          </w:r>
          <w:r w:rsidR="00E44D57">
            <w:rPr>
              <w:rFonts w:ascii="Arial" w:hAnsi="Arial" w:cs="Arial"/>
              <w:vertAlign w:val="subscript"/>
            </w:rPr>
            <w:t>2</w:t>
          </w:r>
          <w:r w:rsidR="006A1131">
            <w:rPr>
              <w:rFonts w:ascii="Arial" w:hAnsi="Arial" w:cs="Arial"/>
              <w:vertAlign w:val="subscript"/>
            </w:rPr>
            <w:t>0</w:t>
          </w:r>
        </w:p>
      </w:tc>
    </w:tr>
  </w:tbl>
  <w:p w14:paraId="4730495C" w14:textId="77777777" w:rsidR="00E42F23" w:rsidRDefault="00E4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849"/>
    <w:multiLevelType w:val="hybridMultilevel"/>
    <w:tmpl w:val="5EA0B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523F"/>
    <w:multiLevelType w:val="hybridMultilevel"/>
    <w:tmpl w:val="09B25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5397">
    <w:abstractNumId w:val="0"/>
  </w:num>
  <w:num w:numId="2" w16cid:durableId="181713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7"/>
    <w:rsid w:val="000376D6"/>
    <w:rsid w:val="00046BE1"/>
    <w:rsid w:val="00061A4C"/>
    <w:rsid w:val="000A4CF9"/>
    <w:rsid w:val="000F27BA"/>
    <w:rsid w:val="001025B6"/>
    <w:rsid w:val="001068A7"/>
    <w:rsid w:val="00194BA6"/>
    <w:rsid w:val="00213817"/>
    <w:rsid w:val="00282413"/>
    <w:rsid w:val="002A566C"/>
    <w:rsid w:val="00361330"/>
    <w:rsid w:val="003656F6"/>
    <w:rsid w:val="0039064A"/>
    <w:rsid w:val="004010FF"/>
    <w:rsid w:val="0041052D"/>
    <w:rsid w:val="0043201F"/>
    <w:rsid w:val="004853E9"/>
    <w:rsid w:val="004C1AE4"/>
    <w:rsid w:val="00562F1C"/>
    <w:rsid w:val="00570CC1"/>
    <w:rsid w:val="005C297F"/>
    <w:rsid w:val="00663ACB"/>
    <w:rsid w:val="006A1131"/>
    <w:rsid w:val="006A4608"/>
    <w:rsid w:val="006B4AE0"/>
    <w:rsid w:val="006B7943"/>
    <w:rsid w:val="00740F31"/>
    <w:rsid w:val="007D7105"/>
    <w:rsid w:val="00811B40"/>
    <w:rsid w:val="00853AE8"/>
    <w:rsid w:val="0086060E"/>
    <w:rsid w:val="008727F5"/>
    <w:rsid w:val="00893BB5"/>
    <w:rsid w:val="00912A5B"/>
    <w:rsid w:val="00965BB5"/>
    <w:rsid w:val="00965CAF"/>
    <w:rsid w:val="009D1118"/>
    <w:rsid w:val="009E54DB"/>
    <w:rsid w:val="00AD5579"/>
    <w:rsid w:val="00B64DD7"/>
    <w:rsid w:val="00BB461D"/>
    <w:rsid w:val="00C1235E"/>
    <w:rsid w:val="00C5078B"/>
    <w:rsid w:val="00C80021"/>
    <w:rsid w:val="00CB53F4"/>
    <w:rsid w:val="00CE5A6B"/>
    <w:rsid w:val="00D404A4"/>
    <w:rsid w:val="00DB00B8"/>
    <w:rsid w:val="00E00724"/>
    <w:rsid w:val="00E42F23"/>
    <w:rsid w:val="00E44D57"/>
    <w:rsid w:val="00E529E9"/>
    <w:rsid w:val="00E6085D"/>
    <w:rsid w:val="00E71085"/>
    <w:rsid w:val="00EC0D82"/>
    <w:rsid w:val="00EE5E81"/>
    <w:rsid w:val="00F412AD"/>
    <w:rsid w:val="00F74625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3479"/>
  <w15:docId w15:val="{567BF5C9-54BB-497F-94D9-A94B72C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2F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E42F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E42F23"/>
  </w:style>
  <w:style w:type="paragraph" w:styleId="BalloonText">
    <w:name w:val="Balloon Text"/>
    <w:basedOn w:val="Normal"/>
    <w:link w:val="BalloonTextChar"/>
    <w:uiPriority w:val="99"/>
    <w:semiHidden/>
    <w:unhideWhenUsed/>
    <w:rsid w:val="006B7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B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\KLS\Q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</Template>
  <TotalTime>2807</TotalTime>
  <Pages>1</Pages>
  <Words>109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QM - mall i dot</vt:lpstr>
      <vt:lpstr>QM - mall i dot</vt:lpstr>
    </vt:vector>
  </TitlesOfParts>
  <Company>ÅF SIFU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 - mall i dot</dc:title>
  <dc:creator>cry</dc:creator>
  <cp:lastModifiedBy>Karlsson</cp:lastModifiedBy>
  <cp:revision>3</cp:revision>
  <cp:lastPrinted>2012-05-31T07:03:00Z</cp:lastPrinted>
  <dcterms:created xsi:type="dcterms:W3CDTF">2023-01-20T04:45:00Z</dcterms:created>
  <dcterms:modified xsi:type="dcterms:W3CDTF">2023-01-31T04:51:00Z</dcterms:modified>
</cp:coreProperties>
</file>